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48" w:rsidRPr="002106AD" w:rsidRDefault="00620148" w:rsidP="002106AD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2106AD">
        <w:rPr>
          <w:rFonts w:ascii="Verdana" w:hAnsi="Verdana" w:cs="Arial"/>
          <w:b/>
          <w:sz w:val="24"/>
          <w:szCs w:val="24"/>
          <w:lang w:val="en-US"/>
        </w:rPr>
        <w:t>MARMARA UNIVERSITY</w:t>
      </w:r>
    </w:p>
    <w:p w:rsidR="00620148" w:rsidRPr="002106AD" w:rsidRDefault="00620148" w:rsidP="002106AD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2106AD">
        <w:rPr>
          <w:rFonts w:ascii="Verdana" w:hAnsi="Verdana" w:cs="Arial"/>
          <w:b/>
          <w:sz w:val="24"/>
          <w:szCs w:val="24"/>
          <w:lang w:val="en-US"/>
        </w:rPr>
        <w:t>FACULTY OF ENGINEERING</w:t>
      </w:r>
    </w:p>
    <w:p w:rsidR="00620148" w:rsidRPr="002106AD" w:rsidRDefault="00620148" w:rsidP="002106AD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2106AD">
        <w:rPr>
          <w:rFonts w:ascii="Verdana" w:hAnsi="Verdana" w:cs="Arial"/>
          <w:b/>
          <w:sz w:val="24"/>
          <w:szCs w:val="24"/>
          <w:lang w:val="en-US"/>
        </w:rPr>
        <w:t>DEPARTMENT OF MECHANICAL ENGINEERING</w:t>
      </w:r>
    </w:p>
    <w:p w:rsidR="00620148" w:rsidRPr="002106AD" w:rsidRDefault="00931D01" w:rsidP="002106AD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931D01">
        <w:rPr>
          <w:rFonts w:ascii="Verdana" w:hAnsi="Verdana" w:cs="Arial"/>
          <w:b/>
          <w:sz w:val="24"/>
          <w:szCs w:val="24"/>
          <w:lang w:val="en-US"/>
        </w:rPr>
        <w:t>ME4111/ME4011/ME411 EXPERIMENTAL METHODS IN MECHANICAL ENGINEERING</w:t>
      </w:r>
    </w:p>
    <w:p w:rsidR="00302A1C" w:rsidRPr="002106AD" w:rsidRDefault="00302A1C" w:rsidP="002106AD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2106AD">
        <w:rPr>
          <w:rFonts w:ascii="Verdana" w:hAnsi="Verdana" w:cs="Arial"/>
          <w:b/>
          <w:sz w:val="24"/>
          <w:szCs w:val="24"/>
          <w:lang w:val="en-US"/>
        </w:rPr>
        <w:t xml:space="preserve">EXPERIMENT NO. </w:t>
      </w:r>
      <w:r w:rsidR="00E56AA8" w:rsidRPr="002106AD">
        <w:rPr>
          <w:rFonts w:ascii="Verdana" w:hAnsi="Verdana" w:cs="Arial"/>
          <w:b/>
          <w:sz w:val="24"/>
          <w:szCs w:val="24"/>
          <w:lang w:val="en-US"/>
        </w:rPr>
        <w:t>2</w:t>
      </w:r>
    </w:p>
    <w:p w:rsidR="00124204" w:rsidRPr="002106AD" w:rsidRDefault="00C81664" w:rsidP="002106AD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>
        <w:rPr>
          <w:rFonts w:ascii="Verdana" w:hAnsi="Verdana" w:cs="Arial"/>
          <w:b/>
          <w:sz w:val="24"/>
          <w:szCs w:val="24"/>
          <w:lang w:val="en-US"/>
        </w:rPr>
        <w:t>Design of an Experiment for Estimating an Unknown Load By the Use of a Cantilever Beam and a</w:t>
      </w:r>
      <w:bookmarkStart w:id="0" w:name="_GoBack"/>
      <w:bookmarkEnd w:id="0"/>
      <w:r w:rsidRPr="002106AD">
        <w:rPr>
          <w:rFonts w:ascii="Verdana" w:hAnsi="Verdana" w:cs="Arial"/>
          <w:b/>
          <w:sz w:val="24"/>
          <w:szCs w:val="24"/>
          <w:lang w:val="en-US"/>
        </w:rPr>
        <w:t xml:space="preserve"> Strain Gage</w:t>
      </w:r>
    </w:p>
    <w:p w:rsidR="00302A1C" w:rsidRPr="002106AD" w:rsidRDefault="00302A1C" w:rsidP="002106AD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2106AD">
        <w:rPr>
          <w:rFonts w:ascii="Verdana" w:hAnsi="Verdana" w:cs="Arial"/>
          <w:b/>
          <w:sz w:val="24"/>
          <w:szCs w:val="24"/>
          <w:lang w:val="en-US"/>
        </w:rPr>
        <w:t>Objective</w:t>
      </w:r>
    </w:p>
    <w:p w:rsidR="00302A1C" w:rsidRPr="002106AD" w:rsidRDefault="0091529C" w:rsidP="002106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This experiment is a continuation of our previous experiment. I</w:t>
      </w:r>
      <w:r w:rsidR="008527CC" w:rsidRPr="002106AD">
        <w:rPr>
          <w:rFonts w:ascii="Times New Roman" w:hAnsi="Times New Roman" w:cs="Times New Roman"/>
          <w:sz w:val="24"/>
          <w:szCs w:val="24"/>
          <w:lang w:val="en-US"/>
        </w:rPr>
        <w:t>n th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>e present</w:t>
      </w:r>
      <w:r w:rsidR="008F0C9E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27CC" w:rsidRPr="002106AD">
        <w:rPr>
          <w:rFonts w:ascii="Times New Roman" w:hAnsi="Times New Roman" w:cs="Times New Roman"/>
          <w:sz w:val="24"/>
          <w:szCs w:val="24"/>
          <w:lang w:val="en-US"/>
        </w:rPr>
        <w:t>experiment,</w:t>
      </w:r>
      <w:r w:rsidR="00FC26DB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an unknown load</w:t>
      </w:r>
      <w:r w:rsidR="008527CC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26DB" w:rsidRPr="002106A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527CC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to be </w:t>
      </w:r>
      <w:r w:rsidR="008F0C9E" w:rsidRPr="002106AD">
        <w:rPr>
          <w:rFonts w:ascii="Times New Roman" w:hAnsi="Times New Roman" w:cs="Times New Roman"/>
          <w:sz w:val="24"/>
          <w:szCs w:val="24"/>
          <w:lang w:val="en-US"/>
        </w:rPr>
        <w:t>estimated</w:t>
      </w:r>
      <w:r w:rsidR="00546375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by using a strain gage.</w:t>
      </w:r>
      <w:r w:rsidR="00FC26DB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Besides</w:t>
      </w:r>
      <w:r w:rsidR="00DE459F" w:rsidRPr="002106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C26DB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the uncertainty </w:t>
      </w:r>
      <w:r w:rsidR="00DE459F" w:rsidRPr="002106A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26DB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>is estimation</w:t>
      </w:r>
      <w:r w:rsidR="00FC26DB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FC26DB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DE459F" w:rsidRPr="002106AD">
        <w:rPr>
          <w:rFonts w:ascii="Times New Roman" w:hAnsi="Times New Roman" w:cs="Times New Roman"/>
          <w:sz w:val="24"/>
          <w:szCs w:val="24"/>
          <w:lang w:val="en-US"/>
        </w:rPr>
        <w:t>determined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46375" w:rsidRPr="002106AD" w:rsidRDefault="00546375" w:rsidP="002106AD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2106AD">
        <w:rPr>
          <w:rFonts w:ascii="Verdana" w:hAnsi="Verdana" w:cs="Arial"/>
          <w:b/>
          <w:sz w:val="24"/>
          <w:szCs w:val="24"/>
          <w:lang w:val="en-US"/>
        </w:rPr>
        <w:t>Introduction</w:t>
      </w:r>
    </w:p>
    <w:p w:rsidR="00546375" w:rsidRPr="002106AD" w:rsidRDefault="00DF1961" w:rsidP="002106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In this experiment, an electrical resistance strain gage will be </w:t>
      </w:r>
      <w:r w:rsidR="00714B38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used to measure </w:t>
      </w:r>
      <w:r w:rsidR="0091529C" w:rsidRPr="002106AD">
        <w:rPr>
          <w:rFonts w:ascii="Times New Roman" w:hAnsi="Times New Roman" w:cs="Times New Roman"/>
          <w:sz w:val="24"/>
          <w:szCs w:val="24"/>
          <w:lang w:val="en-US"/>
        </w:rPr>
        <w:t>the strain due to the given</w:t>
      </w:r>
      <w:r w:rsidR="00714B38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6DBD" w:rsidRPr="002106AD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91529C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known load. </w:t>
      </w:r>
      <w:r w:rsidR="00714B38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Once the strain is measured, the </w:t>
      </w:r>
      <w:r w:rsidR="00B26DBD" w:rsidRPr="002106AD">
        <w:rPr>
          <w:rFonts w:ascii="Times New Roman" w:hAnsi="Times New Roman" w:cs="Times New Roman"/>
          <w:sz w:val="24"/>
          <w:szCs w:val="24"/>
          <w:lang w:val="en-US"/>
        </w:rPr>
        <w:t>unknown load</w:t>
      </w:r>
      <w:r w:rsidR="00714B38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can be calculated </w:t>
      </w:r>
      <w:r w:rsidR="009A367B" w:rsidRPr="002106AD">
        <w:rPr>
          <w:rFonts w:ascii="Times New Roman" w:hAnsi="Times New Roman" w:cs="Times New Roman"/>
          <w:sz w:val="24"/>
          <w:szCs w:val="24"/>
          <w:lang w:val="en-US"/>
        </w:rPr>
        <w:t>by making use of</w:t>
      </w:r>
      <w:r w:rsidR="00714B38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the well-known </w:t>
      </w:r>
      <w:r w:rsidR="006338F1" w:rsidRPr="002106AD">
        <w:rPr>
          <w:rFonts w:ascii="Times New Roman" w:hAnsi="Times New Roman" w:cs="Times New Roman"/>
          <w:sz w:val="24"/>
          <w:szCs w:val="24"/>
          <w:lang w:val="en-US"/>
        </w:rPr>
        <w:t>Hooke’s law and bending stress formula</w:t>
      </w:r>
      <w:r w:rsidR="007214D3" w:rsidRPr="002106A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14B38" w:rsidRPr="002106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14B38" w:rsidRPr="002106AD" w:rsidRDefault="0075477D" w:rsidP="002106AD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2106AD">
        <w:rPr>
          <w:rFonts w:ascii="Verdana" w:hAnsi="Verdana" w:cs="Arial"/>
          <w:b/>
          <w:sz w:val="24"/>
          <w:szCs w:val="24"/>
          <w:lang w:val="en-US"/>
        </w:rPr>
        <w:t>Theoretical background</w:t>
      </w:r>
    </w:p>
    <w:p w:rsidR="000969D4" w:rsidRPr="002106AD" w:rsidRDefault="000969D4" w:rsidP="002106AD">
      <w:pPr>
        <w:spacing w:before="60" w:after="60" w:line="276" w:lineRule="auto"/>
        <w:jc w:val="both"/>
        <w:rPr>
          <w:rFonts w:ascii="Verdana" w:hAnsi="Verdana" w:cs="Times New Roman"/>
          <w:b/>
          <w:i/>
          <w:sz w:val="24"/>
          <w:szCs w:val="24"/>
          <w:lang w:val="en-US"/>
        </w:rPr>
      </w:pPr>
      <w:r w:rsidRPr="002106AD">
        <w:rPr>
          <w:rFonts w:ascii="Verdana" w:hAnsi="Verdana" w:cs="Times New Roman"/>
          <w:b/>
          <w:i/>
          <w:sz w:val="24"/>
          <w:szCs w:val="24"/>
          <w:lang w:val="en-US"/>
        </w:rPr>
        <w:t>3.1.</w:t>
      </w:r>
      <w:r w:rsidRPr="002106AD">
        <w:rPr>
          <w:rFonts w:ascii="Verdana" w:hAnsi="Verdana" w:cs="Times New Roman"/>
          <w:b/>
          <w:i/>
          <w:sz w:val="24"/>
          <w:szCs w:val="24"/>
          <w:lang w:val="en-US"/>
        </w:rPr>
        <w:tab/>
        <w:t>Analysis of a cantilever beam under transverse loading</w:t>
      </w:r>
    </w:p>
    <w:p w:rsidR="000C0B38" w:rsidRPr="002106AD" w:rsidRDefault="007214D3" w:rsidP="002106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Hooke’s law and </w:t>
      </w:r>
      <w:r w:rsidR="000C0B38" w:rsidRPr="002106AD">
        <w:rPr>
          <w:rFonts w:ascii="Times New Roman" w:hAnsi="Times New Roman" w:cs="Times New Roman"/>
          <w:sz w:val="24"/>
          <w:szCs w:val="24"/>
          <w:lang w:val="en-US"/>
        </w:rPr>
        <w:t>bending stress formula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C0B38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0C0B38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3C0335" w:rsidRPr="002106AD">
        <w:rPr>
          <w:rFonts w:ascii="Times New Roman" w:hAnsi="Times New Roman" w:cs="Times New Roman"/>
          <w:sz w:val="24"/>
          <w:szCs w:val="24"/>
          <w:lang w:val="en-US"/>
        </w:rPr>
        <w:t>recalled again below</w:t>
      </w:r>
      <w:r w:rsidR="000C0B38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50DDD" w:rsidRPr="002106AD">
        <w:rPr>
          <w:rFonts w:ascii="Times New Roman" w:hAnsi="Times New Roman" w:cs="Times New Roman"/>
          <w:sz w:val="24"/>
          <w:szCs w:val="24"/>
          <w:lang w:val="en-US"/>
        </w:rPr>
        <w:t>Consider the cantilever beam given below.</w:t>
      </w:r>
    </w:p>
    <w:p w:rsidR="002D7733" w:rsidRPr="002106AD" w:rsidRDefault="002D7733" w:rsidP="002106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089C" w:rsidRPr="002106AD" w:rsidRDefault="00012BEC" w:rsidP="002106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pict>
          <v:group id="_x0000_s1041" editas="canvas" style="width:284.05pt;height:107.7pt;mso-position-horizontal-relative:char;mso-position-vertical-relative:line" coordorigin="3665,10099" coordsize="5681,21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3665;top:10099;width:5681;height:2154" o:preferrelative="f">
              <v:fill o:detectmouseclick="t"/>
              <v:path o:extrusionok="t" o:connecttype="none"/>
              <o:lock v:ext="edit" text="t"/>
            </v:shape>
            <v:rect id="_x0000_s1042" style="position:absolute;left:3761;top:11021;width:4190;height:643"/>
            <v:rect id="_x0000_s1043" style="position:absolute;left:3665;top:10762;width:85;height:1134" fillcolor="black" stroked="f">
              <v:fill r:id="rId8" o:title="Geniş yukarı köşegen" type="pattern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3761;top:10762;width:1;height:1134" o:connectortype="straight"/>
            <v:rect id="_x0000_s1045" style="position:absolute;left:4796;top:10935;width:340;height:85" fillcolor="black [3213]"/>
            <v:shape id="_x0000_s1046" type="#_x0000_t32" style="position:absolute;left:7944;top:10602;width:1;height:425" o:connectortype="straight">
              <v:stroke endarrow="block"/>
            </v:shape>
            <v:shape id="_x0000_s1047" type="#_x0000_t32" style="position:absolute;left:4963;top:10327;width:1;height:850" o:connectortype="straight">
              <v:stroke dashstyle="dashDot"/>
            </v:shape>
            <v:rect id="_x0000_s1048" style="position:absolute;left:8365;top:11021;width:973;height:643"/>
            <v:shape id="_x0000_s1049" type="#_x0000_t32" style="position:absolute;left:4968;top:10444;width:2976;height:1" o:connectortype="straight">
              <v:stroke startarrow="block" endarrow="block"/>
            </v:shape>
            <v:shape id="_x0000_s1050" type="#_x0000_t32" style="position:absolute;left:7945;top:10377;width:1;height:142" o:connectortype="straight"/>
            <v:shape id="_x0000_s1051" type="#_x0000_t32" style="position:absolute;left:8357;top:11892;width:975;height:1" o:connectortype="straight">
              <v:stroke startarrow="block" endarrow="block"/>
            </v:shape>
            <v:shape id="_x0000_s1053" type="#_x0000_t32" style="position:absolute;left:8365;top:11822;width:1;height:142" o:connectortype="straight"/>
            <v:shape id="_x0000_s1054" type="#_x0000_t32" style="position:absolute;left:9337;top:11816;width:1;height:142" o:connectortype="straight"/>
            <v:shape id="_x0000_s1055" type="#_x0000_t32" style="position:absolute;left:8141;top:11022;width:142;height:1" o:connectortype="straight"/>
            <v:shape id="_x0000_s1056" type="#_x0000_t32" style="position:absolute;left:8149;top:11662;width:142;height:1" o:connectortype="straight"/>
            <v:shape id="_x0000_s1057" type="#_x0000_t32" style="position:absolute;left:8217;top:11022;width:1;height:641" o:connectortype="straight">
              <v:stroke startarrow="block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4861;top:10570;width:2126;height:60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52157B" w:rsidRPr="000969D4" w:rsidRDefault="002D7733" w:rsidP="002D7733">
                    <w:p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 w:rsidRPr="000969D4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>Strain gage</w:t>
                    </w:r>
                  </w:p>
                </w:txbxContent>
              </v:textbox>
            </v:shape>
            <v:shape id="_x0000_s1059" type="#_x0000_t202" style="position:absolute;left:6158;top:10099;width:462;height:415;mso-width-percent:400;mso-height-percent:200;mso-width-percent:400;mso-height-percent:200;mso-width-relative:margin;mso-height-relative:margin" filled="f" fillcolor="white [3212]" stroked="f">
              <v:textbox>
                <w:txbxContent>
                  <w:p w:rsidR="002D7733" w:rsidRPr="000969D4" w:rsidRDefault="002D7733" w:rsidP="002D7733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0969D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1060" type="#_x0000_t202" style="position:absolute;left:7895;top:11136;width:462;height:415;mso-width-percent:400;mso-height-percent:200;mso-width-percent:400;mso-height-percent:200;mso-width-relative:margin;mso-height-relative:margin" filled="f" fillcolor="white [3212]" stroked="f">
              <v:textbox>
                <w:txbxContent>
                  <w:p w:rsidR="002D7733" w:rsidRPr="000969D4" w:rsidRDefault="002D7733" w:rsidP="002D7733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0969D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h</w:t>
                    </w:r>
                  </w:p>
                </w:txbxContent>
              </v:textbox>
            </v:shape>
            <v:shape id="_x0000_s1061" type="#_x0000_t202" style="position:absolute;left:8629;top:11838;width:462;height:415;mso-width-percent:400;mso-height-percent:200;mso-width-percent:400;mso-height-percent:200;mso-width-relative:margin;mso-height-relative:margin" filled="f" fillcolor="white [3212]" stroked="f">
              <v:textbox>
                <w:txbxContent>
                  <w:p w:rsidR="002D7733" w:rsidRPr="000969D4" w:rsidRDefault="002D7733" w:rsidP="002D7733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0969D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062" type="#_x0000_t202" style="position:absolute;left:7896;top:10625;width:462;height:415;mso-width-percent:400;mso-height-percent:200;mso-width-percent:400;mso-height-percent:200;mso-width-relative:margin;mso-height-relative:margin" filled="f" fillcolor="white [3212]" stroked="f">
              <v:textbox>
                <w:txbxContent>
                  <w:p w:rsidR="002D7733" w:rsidRPr="000969D4" w:rsidRDefault="002D7733" w:rsidP="002D7733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0969D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C0B38" w:rsidRPr="002106AD" w:rsidRDefault="00435714" w:rsidP="002106AD">
      <w:pPr>
        <w:spacing w:after="0" w:line="276" w:lineRule="auto"/>
        <w:jc w:val="center"/>
        <w:rPr>
          <w:rFonts w:ascii="Cambria" w:hAnsi="Cambria" w:cs="Times New Roman"/>
          <w:lang w:val="en-US"/>
        </w:rPr>
      </w:pPr>
      <w:r w:rsidRPr="002106AD">
        <w:rPr>
          <w:rFonts w:ascii="Cambria" w:hAnsi="Cambria" w:cs="Times New Roman"/>
          <w:b/>
          <w:lang w:val="en-US"/>
        </w:rPr>
        <w:t>Fig.</w:t>
      </w:r>
      <w:r w:rsidR="0075477D" w:rsidRPr="002106AD">
        <w:rPr>
          <w:rFonts w:ascii="Cambria" w:hAnsi="Cambria" w:cs="Times New Roman"/>
          <w:b/>
          <w:lang w:val="en-US"/>
        </w:rPr>
        <w:t xml:space="preserve"> </w:t>
      </w:r>
      <w:r w:rsidR="00F548FF" w:rsidRPr="002106AD">
        <w:rPr>
          <w:rFonts w:ascii="Cambria" w:hAnsi="Cambria" w:cs="Times New Roman"/>
          <w:b/>
          <w:lang w:val="en-US"/>
        </w:rPr>
        <w:t>1</w:t>
      </w:r>
      <w:r w:rsidR="00F548FF" w:rsidRPr="002106AD">
        <w:rPr>
          <w:rFonts w:ascii="Cambria" w:hAnsi="Cambria" w:cs="Times New Roman"/>
          <w:lang w:val="en-US"/>
        </w:rPr>
        <w:t xml:space="preserve"> </w:t>
      </w:r>
      <w:r w:rsidR="00A50DDD" w:rsidRPr="002106AD">
        <w:rPr>
          <w:rFonts w:ascii="Cambria" w:hAnsi="Cambria" w:cs="Times New Roman"/>
          <w:lang w:val="en-US"/>
        </w:rPr>
        <w:t>A cantilever beam under transverse loading</w:t>
      </w:r>
    </w:p>
    <w:p w:rsidR="00F548FF" w:rsidRPr="002106AD" w:rsidRDefault="00F548FF" w:rsidP="002106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B38" w:rsidRPr="002106AD" w:rsidRDefault="00F96BFB" w:rsidP="002106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Referring to Fig. 1, r</w:t>
      </w:r>
      <w:r w:rsidR="00272305" w:rsidRPr="002106AD">
        <w:rPr>
          <w:rFonts w:ascii="Times New Roman" w:hAnsi="Times New Roman" w:cs="Times New Roman"/>
          <w:sz w:val="24"/>
          <w:szCs w:val="24"/>
          <w:lang w:val="en-US"/>
        </w:rPr>
        <w:t>ecall that the bending stress</w:t>
      </w:r>
      <w:r w:rsidR="000969D4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9D4" w:rsidRPr="002106AD">
        <w:rPr>
          <w:rFonts w:ascii="Times New Roman" w:hAnsi="Times New Roman" w:cs="Times New Roman"/>
          <w:i/>
          <w:sz w:val="24"/>
          <w:szCs w:val="24"/>
          <w:lang w:val="en-US"/>
        </w:rPr>
        <w:t>σ</w:t>
      </w:r>
      <w:r w:rsidR="000969D4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the gage location </w:t>
      </w:r>
      <w:r w:rsidR="00272305" w:rsidRPr="002106AD">
        <w:rPr>
          <w:rFonts w:ascii="Times New Roman" w:hAnsi="Times New Roman" w:cs="Times New Roman"/>
          <w:sz w:val="24"/>
          <w:szCs w:val="24"/>
          <w:lang w:val="en-US"/>
        </w:rPr>
        <w:t>is given by</w:t>
      </w:r>
    </w:p>
    <w:p w:rsidR="006D2BA5" w:rsidRPr="002106AD" w:rsidRDefault="000969D4" w:rsidP="002106AD">
      <w:pPr>
        <w:spacing w:before="120" w:after="12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σ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Mc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den>
        </m:f>
      </m:oMath>
      <w:r w:rsidR="00620148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20148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20148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20148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20148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20148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20148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(1)</w:t>
      </w:r>
    </w:p>
    <w:p w:rsidR="00435714" w:rsidRPr="002106AD" w:rsidRDefault="000C0B38" w:rsidP="002106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272305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06A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272305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A1DF3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bending 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>moment</w:t>
      </w:r>
      <w:r w:rsidR="00F96BFB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at the gage location due to the applied load</w:t>
      </w:r>
      <w:r w:rsidR="002D7733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7733" w:rsidRPr="002106AD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F548FF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548FF" w:rsidRPr="002106AD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F548FF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BFB" w:rsidRPr="002106AD">
        <w:rPr>
          <w:rFonts w:ascii="Times New Roman" w:hAnsi="Times New Roman" w:cs="Times New Roman"/>
          <w:sz w:val="24"/>
          <w:szCs w:val="24"/>
          <w:lang w:val="en-US"/>
        </w:rPr>
        <w:t>is given by</w:t>
      </w:r>
      <w:r w:rsidR="00CA4F1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A1DF3" w:rsidRPr="002106AD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0A1DF3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0A1DF3" w:rsidRPr="002106AD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0A1DF3" w:rsidRPr="002106AD"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F548FF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548FF" w:rsidRPr="002106A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548FF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is the </w:t>
      </w:r>
      <w:r w:rsidR="00272305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second </w:t>
      </w:r>
      <w:r w:rsidR="00F548FF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moment of </w:t>
      </w:r>
      <w:r w:rsidR="00272305" w:rsidRPr="002106AD">
        <w:rPr>
          <w:rFonts w:ascii="Times New Roman" w:hAnsi="Times New Roman" w:cs="Times New Roman"/>
          <w:sz w:val="24"/>
          <w:szCs w:val="24"/>
          <w:lang w:val="en-US"/>
        </w:rPr>
        <w:t>area about the neutral axis</w:t>
      </w:r>
      <w:r w:rsidR="00F548FF" w:rsidRPr="002106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35714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335" w:rsidRPr="002106A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35F2A" w:rsidRPr="002106AD">
        <w:rPr>
          <w:rFonts w:ascii="Times New Roman" w:hAnsi="Times New Roman" w:cs="Times New Roman"/>
          <w:sz w:val="24"/>
          <w:szCs w:val="24"/>
          <w:lang w:val="en-US"/>
        </w:rPr>
        <w:t>he b</w:t>
      </w:r>
      <w:r w:rsidR="000A1DF3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ending stress and strain </w:t>
      </w:r>
      <w:r w:rsidR="007F0DC2" w:rsidRPr="002106A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A1DF3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related to each other through </w:t>
      </w:r>
      <w:r w:rsidR="00435714" w:rsidRPr="002106AD">
        <w:rPr>
          <w:rFonts w:ascii="Times New Roman" w:hAnsi="Times New Roman" w:cs="Times New Roman"/>
          <w:sz w:val="24"/>
          <w:szCs w:val="24"/>
          <w:lang w:val="en-US"/>
        </w:rPr>
        <w:t>Hooke’s law</w:t>
      </w:r>
      <w:r w:rsidR="000A1DF3" w:rsidRPr="002106AD">
        <w:rPr>
          <w:rFonts w:ascii="Times New Roman" w:hAnsi="Times New Roman" w:cs="Times New Roman"/>
          <w:sz w:val="24"/>
          <w:szCs w:val="24"/>
          <w:lang w:val="en-US"/>
        </w:rPr>
        <w:t>, which can be expressed as</w:t>
      </w:r>
    </w:p>
    <w:p w:rsidR="00435714" w:rsidRPr="002106AD" w:rsidRDefault="000969D4" w:rsidP="002106AD">
      <w:pPr>
        <w:spacing w:before="120" w:after="12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σ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Eε</m:t>
        </m:r>
      </m:oMath>
      <w:r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(2)</w:t>
      </w:r>
    </w:p>
    <w:p w:rsidR="00435714" w:rsidRPr="002106AD" w:rsidRDefault="00435714" w:rsidP="002106A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272305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06A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E</w:t>
      </w:r>
      <w:r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is </w:t>
      </w:r>
      <w:r w:rsidR="00272305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</w:t>
      </w:r>
      <w:r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>modulus of elasticity</w:t>
      </w:r>
      <w:r w:rsidR="00272305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of the beam material,</w:t>
      </w:r>
      <w:r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ε</m:t>
        </m:r>
      </m:oMath>
      <w:r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72305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>denotes the</w:t>
      </w:r>
      <w:r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strain.</w:t>
      </w:r>
      <w:r w:rsidR="005A73A1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For this experiment, take </w:t>
      </w:r>
      <w:r w:rsidR="005A73A1" w:rsidRPr="002106A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E</w:t>
      </w:r>
      <w:r w:rsidR="005A73A1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as 69 GPa.</w:t>
      </w:r>
    </w:p>
    <w:p w:rsidR="000C0B38" w:rsidRPr="002106AD" w:rsidRDefault="000969D4" w:rsidP="002106AD">
      <w:pPr>
        <w:spacing w:before="60" w:after="60" w:line="276" w:lineRule="auto"/>
        <w:jc w:val="both"/>
        <w:rPr>
          <w:rFonts w:ascii="Verdana" w:hAnsi="Verdana" w:cs="Times New Roman"/>
          <w:b/>
          <w:i/>
          <w:sz w:val="24"/>
          <w:szCs w:val="24"/>
          <w:lang w:val="en-US"/>
        </w:rPr>
      </w:pPr>
      <w:r w:rsidRPr="002106AD">
        <w:rPr>
          <w:rFonts w:ascii="Verdana" w:hAnsi="Verdana" w:cs="Times New Roman"/>
          <w:b/>
          <w:i/>
          <w:sz w:val="24"/>
          <w:szCs w:val="24"/>
          <w:lang w:val="en-US"/>
        </w:rPr>
        <w:lastRenderedPageBreak/>
        <w:t>3.2.</w:t>
      </w:r>
      <w:r w:rsidRPr="002106AD">
        <w:rPr>
          <w:rFonts w:ascii="Verdana" w:hAnsi="Verdana" w:cs="Times New Roman"/>
          <w:b/>
          <w:i/>
          <w:sz w:val="24"/>
          <w:szCs w:val="24"/>
          <w:lang w:val="en-US"/>
        </w:rPr>
        <w:tab/>
      </w:r>
      <w:r w:rsidR="00B13C80" w:rsidRPr="002106AD">
        <w:rPr>
          <w:rFonts w:ascii="Verdana" w:hAnsi="Verdana" w:cs="Times New Roman"/>
          <w:b/>
          <w:i/>
          <w:sz w:val="24"/>
          <w:szCs w:val="24"/>
          <w:lang w:val="en-US"/>
        </w:rPr>
        <w:t xml:space="preserve">Wheatstone </w:t>
      </w:r>
      <w:r w:rsidR="00620148" w:rsidRPr="002106AD">
        <w:rPr>
          <w:rFonts w:ascii="Verdana" w:hAnsi="Verdana" w:cs="Times New Roman"/>
          <w:b/>
          <w:i/>
          <w:sz w:val="24"/>
          <w:szCs w:val="24"/>
          <w:lang w:val="en-US"/>
        </w:rPr>
        <w:t>bridge</w:t>
      </w:r>
    </w:p>
    <w:p w:rsidR="00E07A67" w:rsidRPr="002106AD" w:rsidRDefault="003C0335" w:rsidP="002106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Recall that s</w:t>
      </w:r>
      <w:r w:rsidR="00077B2A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ince 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22D46" w:rsidRPr="002106AD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077B2A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active strain gage will 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077B2A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be used in this experiment, a </w:t>
      </w:r>
      <w:r w:rsidR="00620148" w:rsidRPr="002106AD">
        <w:rPr>
          <w:rFonts w:ascii="Times New Roman" w:hAnsi="Times New Roman" w:cs="Times New Roman"/>
          <w:sz w:val="24"/>
          <w:szCs w:val="24"/>
          <w:lang w:val="en-US"/>
        </w:rPr>
        <w:t>quarter</w:t>
      </w:r>
      <w:r w:rsidR="00E3314E" w:rsidRPr="002106A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20148" w:rsidRPr="002106AD">
        <w:rPr>
          <w:rFonts w:ascii="Times New Roman" w:hAnsi="Times New Roman" w:cs="Times New Roman"/>
          <w:sz w:val="24"/>
          <w:szCs w:val="24"/>
          <w:lang w:val="en-US"/>
        </w:rPr>
        <w:t>bridge</w:t>
      </w:r>
      <w:r w:rsidR="00077B2A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will be </w:t>
      </w:r>
      <w:r w:rsidR="00C22D46" w:rsidRPr="002106AD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327AF6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[1]</w:t>
      </w:r>
      <w:r w:rsidR="00077B2A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as shown below</w:t>
      </w:r>
      <w:r w:rsidR="005F2887" w:rsidRPr="002106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4B6C" w:rsidRPr="002106AD" w:rsidRDefault="005C4B6C" w:rsidP="002106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314E" w:rsidRPr="002106AD" w:rsidRDefault="00012BEC" w:rsidP="002106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pict>
          <v:group id="_x0000_s1065" editas="canvas" style="width:285.1pt;height:233.2pt;mso-position-horizontal-relative:char;mso-position-vertical-relative:line" coordorigin="3750,4784" coordsize="5702,4664">
            <o:lock v:ext="edit" aspectratio="t"/>
            <v:shape id="_x0000_s1064" type="#_x0000_t75" style="position:absolute;left:3750;top:4784;width:5702;height:4664" o:preferrelative="f">
              <v:fill o:detectmouseclick="t"/>
              <v:path o:extrusionok="t" o:connecttype="none"/>
              <o:lock v:ext="edit" text="t"/>
            </v:shape>
            <v:rect id="_x0000_s1066" style="position:absolute;left:4373;top:5331;width:2551;height:2551;rotation:45">
              <o:lock v:ext="edit" aspectratio="t"/>
            </v:rect>
            <v:rect id="_x0000_s1071" style="position:absolute;left:6187;top:5651;width:879;height:255;rotation:45">
              <o:lock v:ext="edit" aspectratio="t"/>
            </v:rect>
            <v:rect id="_x0000_s1072" style="position:absolute;left:4330;top:7402;width:879;height:255;rotation:45">
              <o:lock v:ext="edit" aspectratio="t"/>
            </v:rect>
            <v:rect id="_x0000_s1073" style="position:absolute;left:4298;top:5574;width:879;height:255;rotation:315">
              <o:lock v:ext="edit" aspectratio="t"/>
            </v:rect>
            <v:rect id="_x0000_s1074" style="position:absolute;left:6116;top:7384;width:879;height:255;rotation:315">
              <o:lock v:ext="edit" aspectratio="t"/>
            </v:rect>
            <v:shape id="_x0000_s1075" type="#_x0000_t202" style="position:absolute;left:3750;top:5227;width:1370;height:60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8A0D12" w:rsidRPr="008A0D12" w:rsidRDefault="008A0D12" w:rsidP="006315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A0D1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R</w:t>
                    </w:r>
                    <w:r w:rsidRPr="008A0D12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8A0D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= </w:t>
                    </w:r>
                    <w:r w:rsidRPr="000F3786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R</w:t>
                    </w:r>
                    <w:r w:rsidR="000F3786" w:rsidRPr="000F3786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</w:rPr>
                      <w:t>g</w:t>
                    </w:r>
                  </w:p>
                </w:txbxContent>
              </v:textbox>
            </v:shape>
            <v:shape id="_x0000_s1076" type="#_x0000_t202" style="position:absolute;left:6648;top:5334;width:1370;height:60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D67F99" w:rsidRPr="008A0D12" w:rsidRDefault="00D67F99" w:rsidP="006315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A0D1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77" type="#_x0000_t202" style="position:absolute;left:6499;top:7504;width:1370;height:60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D67F99" w:rsidRPr="008A0D12" w:rsidRDefault="00D67F99" w:rsidP="006315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A0D1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78" type="#_x0000_t202" style="position:absolute;left:4263;top:7472;width:1370;height:60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D67F99" w:rsidRPr="00D67F99" w:rsidRDefault="00D67F99" w:rsidP="006315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67F9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R</w:t>
                    </w:r>
                    <w:r w:rsidRPr="00D67F99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079" type="#_x0000_t32" style="position:absolute;left:3837;top:6618;width:1;height:2268" o:connectortype="straight"/>
            <v:shape id="_x0000_s1080" type="#_x0000_t32" style="position:absolute;left:7452;top:6618;width:1;height:2268" o:connectortype="straight"/>
            <v:shape id="_x0000_s1081" type="#_x0000_t32" style="position:absolute;left:3841;top:8889;width:1587;height:1" o:connectortype="straight"/>
            <v:shape id="_x0000_s1082" type="#_x0000_t32" style="position:absolute;left:5865;top:8890;width:1587;height:1" o:connectortype="straight"/>
            <v:shape id="_x0000_s1086" type="#_x0000_t202" style="position:absolute;left:5382;top:8846;width:1370;height:60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D67F99" w:rsidRPr="008A0D12" w:rsidRDefault="00D67F99" w:rsidP="006315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V</w:t>
                    </w:r>
                    <w:r w:rsidRPr="00D67F9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</w:rPr>
                      <w:t>ex</w:t>
                    </w:r>
                  </w:p>
                </w:txbxContent>
              </v:textbox>
            </v:shape>
            <v:shape id="_x0000_s1087" type="#_x0000_t32" style="position:absolute;left:5650;top:8421;width:1701;height:1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8" type="#_x0000_t19" style="position:absolute;left:7337;top:8315;width:263;height:131;rotation:-436867fd;flip:x y" coordsize="42676,25474" adj="828858,-11119274,21600,3874" path="wr,-17726,43200,25474,42676,8603,350,nfewr,-17726,43200,25474,42676,8603,350,l21600,3874nsxe">
              <v:path o:connectlocs="42676,8603;350,0;21600,3874"/>
            </v:shape>
            <v:shape id="_x0000_s1089" type="#_x0000_t32" style="position:absolute;left:7591;top:8428;width:1162;height:1" o:connectortype="straight"/>
            <v:shape id="_x0000_s1090" type="#_x0000_t32" style="position:absolute;left:5650;top:4803;width:3118;height:1" o:connectortype="straight"/>
            <v:shape id="_x0000_s1092" type="#_x0000_t32" style="position:absolute;left:8768;top:4804;width:1;height:1559" o:connectortype="straight"/>
            <v:shape id="_x0000_s1093" type="#_x0000_t32" style="position:absolute;left:8756;top:6870;width:1;height:1559" o:connectortype="straight"/>
            <v:oval id="_x0000_s1094" style="position:absolute;left:8685;top:6308;width:170;height:170"/>
            <v:oval id="_x0000_s1096" style="position:absolute;left:8685;top:6756;width:170;height:170"/>
            <v:shape id="_x0000_s1097" type="#_x0000_t202" style="position:absolute;left:8735;top:6396;width:717;height:60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0F3786" w:rsidRPr="008A0D12" w:rsidRDefault="000F3786" w:rsidP="006315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</w:rPr>
                      <w:t>out</w:t>
                    </w:r>
                  </w:p>
                </w:txbxContent>
              </v:textbox>
            </v:shape>
            <v:oval id="_x0000_s1098" style="position:absolute;left:5317;top:8797;width:170;height:170"/>
            <v:oval id="_x0000_s1099" style="position:absolute;left:5813;top:8805;width:170;height:170"/>
            <w10:wrap type="none"/>
            <w10:anchorlock/>
          </v:group>
        </w:pict>
      </w:r>
    </w:p>
    <w:p w:rsidR="000320C0" w:rsidRPr="002106AD" w:rsidRDefault="000320C0" w:rsidP="002106AD">
      <w:pPr>
        <w:spacing w:after="0" w:line="276" w:lineRule="auto"/>
        <w:jc w:val="center"/>
        <w:rPr>
          <w:rFonts w:ascii="Cambria" w:hAnsi="Cambria" w:cs="Times New Roman"/>
          <w:lang w:val="en-US"/>
        </w:rPr>
      </w:pPr>
      <w:r w:rsidRPr="002106AD">
        <w:rPr>
          <w:rFonts w:ascii="Cambria" w:hAnsi="Cambria" w:cs="Times New Roman"/>
          <w:b/>
          <w:lang w:val="en-US"/>
        </w:rPr>
        <w:t>Fig.</w:t>
      </w:r>
      <w:r w:rsidR="0075477D" w:rsidRPr="002106AD">
        <w:rPr>
          <w:rFonts w:ascii="Cambria" w:hAnsi="Cambria" w:cs="Times New Roman"/>
          <w:b/>
          <w:lang w:val="en-US"/>
        </w:rPr>
        <w:t xml:space="preserve"> </w:t>
      </w:r>
      <w:r w:rsidR="00E07A67" w:rsidRPr="002106AD">
        <w:rPr>
          <w:rFonts w:ascii="Cambria" w:hAnsi="Cambria" w:cs="Times New Roman"/>
          <w:b/>
          <w:lang w:val="en-US"/>
        </w:rPr>
        <w:t>2</w:t>
      </w:r>
      <w:r w:rsidRPr="002106AD">
        <w:rPr>
          <w:rFonts w:ascii="Cambria" w:hAnsi="Cambria" w:cs="Times New Roman"/>
          <w:lang w:val="en-US"/>
        </w:rPr>
        <w:t xml:space="preserve"> </w:t>
      </w:r>
      <w:r w:rsidR="000F3786" w:rsidRPr="002106AD">
        <w:rPr>
          <w:rFonts w:ascii="Cambria" w:hAnsi="Cambria" w:cs="Times New Roman"/>
          <w:lang w:val="en-US"/>
        </w:rPr>
        <w:t>A q</w:t>
      </w:r>
      <w:r w:rsidRPr="002106AD">
        <w:rPr>
          <w:rFonts w:ascii="Cambria" w:hAnsi="Cambria" w:cs="Times New Roman"/>
          <w:lang w:val="en-US"/>
        </w:rPr>
        <w:t>uarter</w:t>
      </w:r>
      <w:r w:rsidR="00E3314E" w:rsidRPr="002106AD">
        <w:rPr>
          <w:rFonts w:ascii="Cambria" w:hAnsi="Cambria" w:cs="Times New Roman"/>
          <w:lang w:val="en-US"/>
        </w:rPr>
        <w:t>-</w:t>
      </w:r>
      <w:r w:rsidRPr="002106AD">
        <w:rPr>
          <w:rFonts w:ascii="Cambria" w:hAnsi="Cambria" w:cs="Times New Roman"/>
          <w:lang w:val="en-US"/>
        </w:rPr>
        <w:t>bridge</w:t>
      </w:r>
      <w:r w:rsidR="00AC03C3" w:rsidRPr="002106AD">
        <w:rPr>
          <w:rFonts w:ascii="Cambria" w:hAnsi="Cambria" w:cs="Times New Roman"/>
          <w:lang w:val="en-US"/>
        </w:rPr>
        <w:t xml:space="preserve"> </w:t>
      </w:r>
      <w:r w:rsidR="00327AF6" w:rsidRPr="002106AD">
        <w:rPr>
          <w:rFonts w:ascii="Cambria" w:hAnsi="Cambria" w:cs="Times New Roman"/>
          <w:lang w:val="en-US"/>
        </w:rPr>
        <w:t xml:space="preserve">(see, e.g., </w:t>
      </w:r>
      <w:r w:rsidR="00AC03C3" w:rsidRPr="002106AD">
        <w:rPr>
          <w:rFonts w:ascii="Cambria" w:hAnsi="Cambria" w:cs="Times New Roman"/>
          <w:lang w:val="en-US"/>
        </w:rPr>
        <w:t>[</w:t>
      </w:r>
      <w:r w:rsidR="00856D0D" w:rsidRPr="002106AD">
        <w:rPr>
          <w:rFonts w:ascii="Cambria" w:hAnsi="Cambria" w:cs="Times New Roman"/>
          <w:lang w:val="en-US"/>
        </w:rPr>
        <w:t>1</w:t>
      </w:r>
      <w:r w:rsidR="00AC03C3" w:rsidRPr="002106AD">
        <w:rPr>
          <w:rFonts w:ascii="Cambria" w:hAnsi="Cambria" w:cs="Times New Roman"/>
          <w:lang w:val="en-US"/>
        </w:rPr>
        <w:t>]</w:t>
      </w:r>
      <w:r w:rsidR="00327AF6" w:rsidRPr="002106AD">
        <w:rPr>
          <w:rFonts w:ascii="Cambria" w:hAnsi="Cambria" w:cs="Times New Roman"/>
          <w:lang w:val="en-US"/>
        </w:rPr>
        <w:t>)</w:t>
      </w:r>
    </w:p>
    <w:p w:rsidR="000F3786" w:rsidRPr="002106AD" w:rsidRDefault="000F3786" w:rsidP="002106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F3786" w:rsidRPr="002106AD" w:rsidRDefault="005A6CE9" w:rsidP="002106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Under balanced condition,</w:t>
      </w:r>
      <w:r w:rsidR="006315F3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the voltage output </w:t>
      </w:r>
      <w:r w:rsidRPr="002106A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2106A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out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5F3" w:rsidRPr="002106AD">
        <w:rPr>
          <w:rFonts w:ascii="Times New Roman" w:hAnsi="Times New Roman" w:cs="Times New Roman"/>
          <w:sz w:val="24"/>
          <w:szCs w:val="24"/>
          <w:lang w:val="en-US"/>
        </w:rPr>
        <w:t>is zero</w:t>
      </w:r>
      <w:r w:rsidR="00856D0D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[2]</w:t>
      </w:r>
      <w:r w:rsidR="006315F3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914C0" w:rsidRPr="002106A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F3786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he change </w:t>
      </w:r>
      <w:r w:rsidR="005914C0" w:rsidRPr="002106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3786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n the output voltage </w:t>
      </w:r>
      <w:r w:rsidR="005914C0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due to a change in the resistance of the gage (i.e. </w:t>
      </w:r>
      <w:r w:rsidR="005914C0" w:rsidRPr="002106A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5914C0" w:rsidRPr="002106A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g</w:t>
      </w:r>
      <w:r w:rsidR="005914C0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15F3" w:rsidRPr="002106AD">
        <w:rPr>
          <w:rFonts w:ascii="Times New Roman" w:hAnsi="Times New Roman" w:cs="Times New Roman"/>
          <w:sz w:val="24"/>
          <w:szCs w:val="24"/>
          <w:lang w:val="en-US"/>
        </w:rPr>
        <w:t>can be related to</w:t>
      </w:r>
      <w:r w:rsidR="005914C0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315F3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value of</w:t>
      </w:r>
      <w:r w:rsidR="005914C0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strain</w:t>
      </w:r>
      <w:r w:rsidR="006315F3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through the following expression [</w:t>
      </w:r>
      <w:r w:rsidR="00856D0D" w:rsidRPr="002106AD">
        <w:rPr>
          <w:rFonts w:ascii="Times New Roman" w:hAnsi="Times New Roman" w:cs="Times New Roman"/>
          <w:sz w:val="24"/>
          <w:szCs w:val="24"/>
          <w:lang w:val="en-US"/>
        </w:rPr>
        <w:t>3,4</w:t>
      </w:r>
      <w:r w:rsidR="006315F3" w:rsidRPr="002106AD">
        <w:rPr>
          <w:rFonts w:ascii="Times New Roman" w:hAnsi="Times New Roman" w:cs="Times New Roman"/>
          <w:sz w:val="24"/>
          <w:szCs w:val="24"/>
          <w:lang w:val="en-US"/>
        </w:rPr>
        <w:t>]:</w:t>
      </w:r>
    </w:p>
    <w:p w:rsidR="00A16A94" w:rsidRPr="002106AD" w:rsidRDefault="00012BEC" w:rsidP="002106AD">
      <w:pPr>
        <w:spacing w:before="120" w:after="12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out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ex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ε</m:t>
        </m:r>
      </m:oMath>
      <w:r w:rsidR="00C758CD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</w:t>
      </w:r>
      <w:r w:rsidR="00E07A67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 w:rsidR="00C758CD" w:rsidRPr="002106AD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AC03C3" w:rsidRPr="002106AD" w:rsidRDefault="006315F3" w:rsidP="002106A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B57CC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Pr="00BB57C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B57C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g</w:t>
      </w:r>
      <w:r w:rsidRPr="00BB57CC">
        <w:rPr>
          <w:rFonts w:ascii="Times New Roman" w:hAnsi="Times New Roman" w:cs="Times New Roman"/>
          <w:sz w:val="24"/>
          <w:szCs w:val="24"/>
          <w:lang w:val="en-US"/>
        </w:rPr>
        <w:t xml:space="preserve"> is the gage factor. </w:t>
      </w:r>
      <w:r w:rsidR="00BB57CC" w:rsidRPr="00BB57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C03C3" w:rsidRPr="00BB57CC">
        <w:rPr>
          <w:rFonts w:ascii="Times New Roman" w:hAnsi="Times New Roman" w:cs="Times New Roman"/>
          <w:sz w:val="24"/>
          <w:szCs w:val="24"/>
          <w:lang w:val="en-US"/>
        </w:rPr>
        <w:t xml:space="preserve">he value of </w:t>
      </w:r>
      <w:r w:rsidR="00AC03C3" w:rsidRPr="00BB57C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AC03C3" w:rsidRPr="00BB57C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g</w:t>
      </w:r>
      <w:r w:rsidR="00AC03C3" w:rsidRPr="00BB5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3C3" w:rsidRPr="00BB57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for the </w:t>
      </w:r>
      <w:r w:rsidRPr="00BB57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particular </w:t>
      </w:r>
      <w:r w:rsidR="00AC03C3" w:rsidRPr="00BB57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gage to be applied in this </w:t>
      </w:r>
      <w:r w:rsidR="00BB57CC" w:rsidRPr="00BB57CC">
        <w:rPr>
          <w:rFonts w:ascii="Times New Roman" w:eastAsiaTheme="minorEastAsia" w:hAnsi="Times New Roman" w:cs="Times New Roman"/>
          <w:sz w:val="24"/>
          <w:szCs w:val="24"/>
          <w:lang w:val="en-US"/>
        </w:rPr>
        <w:t>experiment will be provided in the laboratory session</w:t>
      </w:r>
      <w:r w:rsidR="00AC03C3" w:rsidRPr="00BB57CC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376397" w:rsidRPr="002106AD" w:rsidRDefault="00376397" w:rsidP="002106AD">
      <w:pPr>
        <w:spacing w:before="60" w:after="60" w:line="276" w:lineRule="auto"/>
        <w:jc w:val="both"/>
        <w:rPr>
          <w:rFonts w:ascii="Verdana" w:hAnsi="Verdana" w:cs="Times New Roman"/>
          <w:b/>
          <w:i/>
          <w:sz w:val="24"/>
          <w:szCs w:val="24"/>
          <w:lang w:val="en-US"/>
        </w:rPr>
      </w:pPr>
      <w:r w:rsidRPr="002106AD">
        <w:rPr>
          <w:rFonts w:ascii="Verdana" w:hAnsi="Verdana" w:cs="Times New Roman"/>
          <w:b/>
          <w:i/>
          <w:sz w:val="24"/>
          <w:szCs w:val="24"/>
          <w:lang w:val="en-US"/>
        </w:rPr>
        <w:t>3.3.</w:t>
      </w:r>
      <w:r w:rsidRPr="002106AD">
        <w:rPr>
          <w:rFonts w:ascii="Verdana" w:hAnsi="Verdana" w:cs="Times New Roman"/>
          <w:b/>
          <w:i/>
          <w:sz w:val="24"/>
          <w:szCs w:val="24"/>
          <w:lang w:val="en-US"/>
        </w:rPr>
        <w:tab/>
        <w:t>Experimental uncertainty analysis</w:t>
      </w:r>
    </w:p>
    <w:p w:rsidR="00842B13" w:rsidRPr="002106AD" w:rsidRDefault="00C20AFF" w:rsidP="002106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In this section, s</w:t>
      </w:r>
      <w:r w:rsidR="00842B13" w:rsidRPr="002106AD">
        <w:rPr>
          <w:rFonts w:ascii="Times New Roman" w:hAnsi="Times New Roman" w:cs="Times New Roman"/>
          <w:sz w:val="24"/>
          <w:szCs w:val="24"/>
          <w:lang w:val="en-US"/>
        </w:rPr>
        <w:t>ome useful formulas are recalled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42B13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Sample standard deviation </w:t>
      </w:r>
      <w:r w:rsidR="00842B13" w:rsidRPr="002106AD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is given by</w:t>
      </w:r>
    </w:p>
    <w:p w:rsidR="00842B13" w:rsidRPr="002106AD" w:rsidRDefault="00842B13" w:rsidP="002106AD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260" w:dyaOrig="760">
          <v:shape id="_x0000_i1027" type="#_x0000_t75" style="width:113.25pt;height:38.25pt" o:ole="">
            <v:imagedata r:id="rId9" o:title=""/>
          </v:shape>
          <o:OLEObject Type="Embed" ProgID="Equation.DSMT4" ShapeID="_x0000_i1027" DrawAspect="Content" ObjectID="_1695312729" r:id="rId10"/>
        </w:object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(4)</w:t>
      </w:r>
    </w:p>
    <w:p w:rsidR="00842B13" w:rsidRPr="002106AD" w:rsidRDefault="00842B13" w:rsidP="002106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Pr="002106AD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" w:dyaOrig="279">
          <v:shape id="_x0000_i1028" type="#_x0000_t75" style="width:13.5pt;height:13.5pt" o:ole="">
            <v:imagedata r:id="rId11" o:title=""/>
          </v:shape>
          <o:OLEObject Type="Embed" ProgID="Equation.DSMT4" ShapeID="_x0000_i1028" DrawAspect="Content" ObjectID="_1695312730" r:id="rId12"/>
        </w:objec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is the number of </w:t>
      </w:r>
      <w:r w:rsidR="00992A88" w:rsidRPr="002106AD">
        <w:rPr>
          <w:rFonts w:ascii="Times New Roman" w:hAnsi="Times New Roman" w:cs="Times New Roman"/>
          <w:sz w:val="24"/>
          <w:szCs w:val="24"/>
          <w:lang w:val="en-US"/>
        </w:rPr>
        <w:t>measurements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2106AD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0" w:dyaOrig="260">
          <v:shape id="_x0000_i1029" type="#_x0000_t75" style="width:11.25pt;height:13.5pt" o:ole="">
            <v:imagedata r:id="rId13" o:title=""/>
          </v:shape>
          <o:OLEObject Type="Embed" ProgID="Equation.DSMT4" ShapeID="_x0000_i1029" DrawAspect="Content" ObjectID="_1695312731" r:id="rId14"/>
        </w:objec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is the sample mean given by</w:t>
      </w:r>
    </w:p>
    <w:p w:rsidR="00842B13" w:rsidRPr="002106AD" w:rsidRDefault="00842B13" w:rsidP="002106AD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200" w:dyaOrig="680">
          <v:shape id="_x0000_i1030" type="#_x0000_t75" style="width:60pt;height:33.75pt" o:ole="">
            <v:imagedata r:id="rId15" o:title=""/>
          </v:shape>
          <o:OLEObject Type="Embed" ProgID="Equation.DSMT4" ShapeID="_x0000_i1030" DrawAspect="Content" ObjectID="_1695312732" r:id="rId16"/>
        </w:object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(5)</w:t>
      </w:r>
    </w:p>
    <w:p w:rsidR="00842B13" w:rsidRPr="002106AD" w:rsidRDefault="00C20AFF" w:rsidP="002106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The standard error of the mean (SE</w:t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>) can be interpreted as a measure of the uncertainty of the mean. It is given as</w:t>
      </w:r>
    </w:p>
    <w:p w:rsidR="00842B13" w:rsidRPr="002106AD" w:rsidRDefault="00A05DB6" w:rsidP="002106AD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680" w:dyaOrig="660">
          <v:shape id="_x0000_i1031" type="#_x0000_t75" style="width:84pt;height:33pt" o:ole="">
            <v:imagedata r:id="rId17" o:title=""/>
          </v:shape>
          <o:OLEObject Type="Embed" ProgID="Equation.DSMT4" ShapeID="_x0000_i1031" DrawAspect="Content" ObjectID="_1695312733" r:id="rId18"/>
        </w:objec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734" w:rsidRPr="002106A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(6)</w:t>
      </w:r>
    </w:p>
    <w:p w:rsidR="00620734" w:rsidRPr="002106AD" w:rsidRDefault="00620734" w:rsidP="002106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03BA2" w:rsidRPr="002106AD" w:rsidRDefault="006338F1" w:rsidP="002106AD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2106AD">
        <w:rPr>
          <w:rFonts w:ascii="Verdana" w:hAnsi="Verdana" w:cs="Arial"/>
          <w:b/>
          <w:sz w:val="24"/>
          <w:szCs w:val="24"/>
          <w:lang w:val="en-US"/>
        </w:rPr>
        <w:lastRenderedPageBreak/>
        <w:t>Experimental p</w:t>
      </w:r>
      <w:r w:rsidR="00903BA2" w:rsidRPr="002106AD">
        <w:rPr>
          <w:rFonts w:ascii="Verdana" w:hAnsi="Verdana" w:cs="Arial"/>
          <w:b/>
          <w:sz w:val="24"/>
          <w:szCs w:val="24"/>
          <w:lang w:val="en-US"/>
        </w:rPr>
        <w:t>rocedure</w:t>
      </w:r>
    </w:p>
    <w:p w:rsidR="001F358D" w:rsidRPr="002106AD" w:rsidRDefault="001F358D" w:rsidP="002106A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Measure </w:t>
      </w:r>
      <w:r w:rsidR="00376397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and record 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the distance </w:t>
      </w:r>
      <w:r w:rsidRPr="002106AD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674C0" w:rsidRPr="002106AD">
        <w:rPr>
          <w:rFonts w:ascii="Times New Roman" w:hAnsi="Times New Roman" w:cs="Times New Roman"/>
          <w:sz w:val="24"/>
          <w:szCs w:val="24"/>
          <w:lang w:val="en-US"/>
        </w:rPr>
        <w:t>beam thickness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06AD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674C0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beam 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width </w:t>
      </w:r>
      <w:r w:rsidRPr="002106A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6397" w:rsidRPr="002106AD" w:rsidRDefault="00376397" w:rsidP="002106A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Repeat the above step two more times.</w:t>
      </w:r>
    </w:p>
    <w:p w:rsidR="006338F1" w:rsidRPr="002106AD" w:rsidRDefault="006338F1" w:rsidP="002106A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Apply the </w:t>
      </w:r>
      <w:r w:rsidR="007D255E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B26DBD" w:rsidRPr="002106AD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>known load</w:t>
      </w:r>
      <w:r w:rsidR="007D255E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255E" w:rsidRPr="002106AD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to the beam.</w:t>
      </w:r>
    </w:p>
    <w:p w:rsidR="006338F1" w:rsidRPr="002106AD" w:rsidRDefault="00947D20" w:rsidP="002106A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6338F1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5383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and record </w:t>
      </w:r>
      <w:r w:rsidR="006338F1" w:rsidRPr="002106AD">
        <w:rPr>
          <w:rFonts w:ascii="Times New Roman" w:hAnsi="Times New Roman" w:cs="Times New Roman"/>
          <w:sz w:val="24"/>
          <w:szCs w:val="24"/>
          <w:lang w:val="en-US"/>
        </w:rPr>
        <w:t>the voltage output of the bridge</w:t>
      </w:r>
      <w:r w:rsidR="007D255E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(i.e. </w:t>
      </w:r>
      <w:r w:rsidR="007D255E" w:rsidRPr="002106A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D255E" w:rsidRPr="002106A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out</w:t>
      </w:r>
      <w:r w:rsidR="007D255E" w:rsidRPr="002106A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338F1" w:rsidRPr="002106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0CDC" w:rsidRPr="002106AD" w:rsidRDefault="00BD0CDC" w:rsidP="002106A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Remove the load from the beam.</w:t>
      </w:r>
    </w:p>
    <w:p w:rsidR="00376397" w:rsidRPr="002106AD" w:rsidRDefault="00376397" w:rsidP="002106A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Repeat the </w:t>
      </w:r>
      <w:r w:rsidR="00BD0CDC" w:rsidRPr="002106AD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BD0CDC" w:rsidRPr="002106AD">
        <w:rPr>
          <w:rFonts w:ascii="Times New Roman" w:hAnsi="Times New Roman" w:cs="Times New Roman"/>
          <w:sz w:val="24"/>
          <w:szCs w:val="24"/>
          <w:lang w:val="en-US"/>
        </w:rPr>
        <w:t>hree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steps two more times.</w:t>
      </w:r>
    </w:p>
    <w:p w:rsidR="006338F1" w:rsidRPr="002106AD" w:rsidRDefault="006338F1" w:rsidP="002106AD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2106AD">
        <w:rPr>
          <w:rFonts w:ascii="Verdana" w:hAnsi="Verdana" w:cs="Arial"/>
          <w:b/>
          <w:sz w:val="24"/>
          <w:szCs w:val="24"/>
          <w:lang w:val="en-US"/>
        </w:rPr>
        <w:t>Required calculations</w:t>
      </w:r>
    </w:p>
    <w:p w:rsidR="00BD0CDC" w:rsidRPr="002106AD" w:rsidRDefault="00620734" w:rsidP="002106A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BD0CDC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73A1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the measurements of </w:t>
      </w:r>
      <w:r w:rsidR="00BD0CDC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the distance </w:t>
      </w:r>
      <w:r w:rsidR="00BD0CDC" w:rsidRPr="002106AD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BD0CDC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, beam thickness </w:t>
      </w:r>
      <w:r w:rsidR="00BD0CDC" w:rsidRPr="002106AD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BD0CDC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, beam width </w:t>
      </w:r>
      <w:r w:rsidR="00BD0CDC" w:rsidRPr="002106A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BD0CDC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, and the voltage output </w:t>
      </w:r>
      <w:r w:rsidR="00BD0CDC" w:rsidRPr="002106A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BD0CDC" w:rsidRPr="002106A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out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as Mean ± SEM.</w:t>
      </w:r>
    </w:p>
    <w:p w:rsidR="00620734" w:rsidRPr="002106AD" w:rsidRDefault="00913BC4" w:rsidP="002106A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Analytically</w:t>
      </w:r>
      <w:r w:rsidR="00DF66EA" w:rsidRPr="002106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show that</w:t>
      </w:r>
    </w:p>
    <w:p w:rsidR="00913BC4" w:rsidRPr="002106AD" w:rsidRDefault="00913BC4" w:rsidP="002106AD">
      <w:pPr>
        <w:pStyle w:val="ListParagraph"/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1840" w:dyaOrig="740">
          <v:shape id="_x0000_i1032" type="#_x0000_t75" style="width:92.25pt;height:37.5pt" o:ole="">
            <v:imagedata r:id="rId19" o:title=""/>
          </v:shape>
          <o:OLEObject Type="Embed" ProgID="Equation.DSMT4" ShapeID="_x0000_i1032" DrawAspect="Content" ObjectID="_1695312734" r:id="rId20"/>
        </w:object>
      </w:r>
    </w:p>
    <w:p w:rsidR="007D255E" w:rsidRPr="002106AD" w:rsidRDefault="00BD0CDC" w:rsidP="002106A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Find</w:t>
      </w:r>
      <w:r w:rsidR="007D255E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6EA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nominal </w:t>
      </w:r>
      <w:r w:rsidR="00DF66EA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value of </w:t>
      </w:r>
      <w:r w:rsidR="007D255E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the unknown load </w:t>
      </w:r>
      <w:r w:rsidR="007D255E" w:rsidRPr="002106AD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7D255E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using the mean values of the</w:t>
      </w:r>
      <w:r w:rsidR="00376397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255E" w:rsidRPr="002106AD">
        <w:rPr>
          <w:rFonts w:ascii="Times New Roman" w:hAnsi="Times New Roman" w:cs="Times New Roman"/>
          <w:sz w:val="24"/>
          <w:szCs w:val="24"/>
          <w:lang w:val="en-US"/>
        </w:rPr>
        <w:t>measurements</w:t>
      </w:r>
      <w:r w:rsidR="00376397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of the corresponding quantities</w:t>
      </w:r>
      <w:r w:rsidR="007D255E" w:rsidRPr="002106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5C04" w:rsidRPr="002106AD" w:rsidRDefault="007D255E" w:rsidP="002106A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4095C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alculate 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4095C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expected </w:t>
      </w:r>
      <w:r w:rsidR="00376397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uncertainty </w:t>
      </w:r>
      <w:r w:rsidR="0014095C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76397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4095C" w:rsidRPr="002106AD">
        <w:rPr>
          <w:rFonts w:ascii="Times New Roman" w:hAnsi="Times New Roman" w:cs="Times New Roman"/>
          <w:sz w:val="24"/>
          <w:szCs w:val="24"/>
          <w:lang w:val="en-US"/>
        </w:rPr>
        <w:t>maximum uncertaint</w:t>
      </w:r>
      <w:r w:rsidR="00376397" w:rsidRPr="002106A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4095C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397" w:rsidRPr="002106AD">
        <w:rPr>
          <w:rFonts w:ascii="Times New Roman" w:hAnsi="Times New Roman" w:cs="Times New Roman"/>
          <w:sz w:val="24"/>
          <w:szCs w:val="24"/>
          <w:lang w:val="en-US"/>
        </w:rPr>
        <w:t>associated with the estimated</w:t>
      </w:r>
      <w:r w:rsidR="00BD0CDC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nominal</w:t>
      </w:r>
      <w:r w:rsidR="00376397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value of</w:t>
      </w:r>
      <w:r w:rsidR="0014095C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6B1" w:rsidRPr="002106AD">
        <w:rPr>
          <w:rFonts w:ascii="Times New Roman" w:hAnsi="Times New Roman" w:cs="Times New Roman"/>
          <w:sz w:val="24"/>
          <w:szCs w:val="24"/>
          <w:lang w:val="en-US"/>
        </w:rPr>
        <w:t>the unknown load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06AD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755C04" w:rsidRPr="002106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385C" w:rsidRPr="002106AD" w:rsidRDefault="003B18C1" w:rsidP="002106AD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2106AD">
        <w:rPr>
          <w:rFonts w:ascii="Verdana" w:hAnsi="Verdana" w:cs="Arial"/>
          <w:b/>
          <w:sz w:val="24"/>
          <w:szCs w:val="24"/>
          <w:lang w:val="en-US"/>
        </w:rPr>
        <w:t>Required r</w:t>
      </w:r>
      <w:r w:rsidR="00E5385C" w:rsidRPr="002106AD">
        <w:rPr>
          <w:rFonts w:ascii="Verdana" w:hAnsi="Verdana" w:cs="Arial"/>
          <w:b/>
          <w:sz w:val="24"/>
          <w:szCs w:val="24"/>
          <w:lang w:val="en-US"/>
        </w:rPr>
        <w:t>eport format</w:t>
      </w:r>
    </w:p>
    <w:p w:rsidR="003B18C1" w:rsidRPr="00BB57CC" w:rsidRDefault="003B18C1" w:rsidP="000405F3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7CC">
        <w:rPr>
          <w:rFonts w:ascii="Times New Roman" w:hAnsi="Times New Roman" w:cs="Times New Roman"/>
          <w:sz w:val="24"/>
          <w:szCs w:val="24"/>
          <w:lang w:val="en-US"/>
        </w:rPr>
        <w:t xml:space="preserve">The report should be organized as follows: Title Page, Introduction, </w:t>
      </w:r>
      <w:r w:rsidR="00BB57CC" w:rsidRPr="00BB57CC">
        <w:rPr>
          <w:rFonts w:ascii="Times New Roman" w:hAnsi="Times New Roman" w:cs="Times New Roman"/>
          <w:sz w:val="24"/>
          <w:szCs w:val="24"/>
          <w:lang w:val="en-US"/>
        </w:rPr>
        <w:t xml:space="preserve">Experimental Setup and Procedure, Theoretical Background and Calculation Details, Results and Discussion, Conclusions, References and </w:t>
      </w:r>
      <w:r w:rsidRPr="00BB57CC">
        <w:rPr>
          <w:rFonts w:ascii="Times New Roman" w:hAnsi="Times New Roman" w:cs="Times New Roman"/>
          <w:sz w:val="24"/>
          <w:szCs w:val="24"/>
          <w:lang w:val="en-US"/>
        </w:rPr>
        <w:t>Appendi</w:t>
      </w:r>
      <w:r w:rsidR="00BB57CC">
        <w:rPr>
          <w:rFonts w:ascii="Times New Roman" w:hAnsi="Times New Roman" w:cs="Times New Roman"/>
          <w:sz w:val="24"/>
          <w:szCs w:val="24"/>
          <w:lang w:val="en-US"/>
        </w:rPr>
        <w:t>ces</w:t>
      </w:r>
      <w:r w:rsidRPr="00BB57CC">
        <w:rPr>
          <w:rFonts w:ascii="Times New Roman" w:hAnsi="Times New Roman" w:cs="Times New Roman"/>
          <w:sz w:val="24"/>
          <w:szCs w:val="24"/>
          <w:lang w:val="en-US"/>
        </w:rPr>
        <w:t xml:space="preserve"> (if any).</w:t>
      </w:r>
    </w:p>
    <w:p w:rsidR="00E5385C" w:rsidRPr="002106AD" w:rsidRDefault="00070933" w:rsidP="002106A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Measured and calculated</w:t>
      </w:r>
      <w:r w:rsidR="003E4780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quantities should be presented</w:t>
      </w:r>
      <w:r w:rsidR="000275AE"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780" w:rsidRPr="002106AD">
        <w:rPr>
          <w:rFonts w:ascii="Times New Roman" w:hAnsi="Times New Roman" w:cs="Times New Roman"/>
          <w:sz w:val="24"/>
          <w:szCs w:val="24"/>
          <w:lang w:val="en-US"/>
        </w:rPr>
        <w:t>in tabular form.</w:t>
      </w:r>
    </w:p>
    <w:p w:rsidR="003E4780" w:rsidRPr="002106AD" w:rsidRDefault="003E4780" w:rsidP="002106A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Show all details of your calculations.</w:t>
      </w:r>
    </w:p>
    <w:p w:rsidR="003E4780" w:rsidRPr="002106AD" w:rsidRDefault="003B18C1" w:rsidP="002106A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>Make recommendations for improving the experimental procedure.</w:t>
      </w:r>
    </w:p>
    <w:p w:rsidR="00FF7AC3" w:rsidRPr="002106AD" w:rsidRDefault="00FF7AC3" w:rsidP="002106AD">
      <w:pPr>
        <w:spacing w:before="120" w:after="120" w:line="276" w:lineRule="auto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2106AD">
        <w:rPr>
          <w:rFonts w:ascii="Verdana" w:hAnsi="Verdana" w:cs="Arial"/>
          <w:b/>
          <w:sz w:val="24"/>
          <w:szCs w:val="24"/>
          <w:lang w:val="en-US"/>
        </w:rPr>
        <w:t>References</w:t>
      </w:r>
    </w:p>
    <w:p w:rsidR="00FF7AC3" w:rsidRPr="002106AD" w:rsidRDefault="00396317" w:rsidP="002106A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J.G. Webster and H. Eren (2014) </w:t>
      </w:r>
      <w:r w:rsidRPr="002106AD">
        <w:rPr>
          <w:rFonts w:ascii="Times New Roman" w:hAnsi="Times New Roman" w:cs="Times New Roman"/>
          <w:i/>
          <w:sz w:val="24"/>
          <w:szCs w:val="24"/>
          <w:lang w:val="en-US"/>
        </w:rPr>
        <w:t>Measurement, Instrumentation, and Sensors Handbook, Second Edition: Spatial, Mechanical, Thermal, and Radiation Measurement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>. CRC Press, Taylor &amp; Francis Group</w:t>
      </w:r>
    </w:p>
    <w:p w:rsidR="00396317" w:rsidRPr="002106AD" w:rsidRDefault="00396317" w:rsidP="002106A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T.R. Padmanabhan (2000) </w:t>
      </w:r>
      <w:r w:rsidRPr="002106AD">
        <w:rPr>
          <w:rFonts w:ascii="Times New Roman" w:hAnsi="Times New Roman" w:cs="Times New Roman"/>
          <w:i/>
          <w:sz w:val="24"/>
          <w:szCs w:val="24"/>
          <w:lang w:val="en-US"/>
        </w:rPr>
        <w:t>Industrial Instrumentation: Principles and Design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>. Springer</w:t>
      </w:r>
    </w:p>
    <w:p w:rsidR="00396317" w:rsidRPr="002106AD" w:rsidRDefault="00396317" w:rsidP="002106A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N. Mathivanan (2007) </w:t>
      </w:r>
      <w:r w:rsidRPr="002106AD">
        <w:rPr>
          <w:rFonts w:ascii="Times New Roman" w:hAnsi="Times New Roman" w:cs="Times New Roman"/>
          <w:i/>
          <w:sz w:val="24"/>
          <w:szCs w:val="24"/>
          <w:lang w:val="en-US"/>
        </w:rPr>
        <w:t>PC-based Instrumentation: Concepts and Practice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>. Prentice-Hall of India</w:t>
      </w:r>
    </w:p>
    <w:p w:rsidR="00BF16D4" w:rsidRPr="002106AD" w:rsidRDefault="00BF16D4" w:rsidP="002106A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6AD">
        <w:rPr>
          <w:rFonts w:ascii="Times New Roman" w:hAnsi="Times New Roman" w:cs="Times New Roman"/>
          <w:sz w:val="24"/>
          <w:szCs w:val="24"/>
          <w:lang w:val="en-US"/>
        </w:rPr>
        <w:t xml:space="preserve">M. Kutz (2013) </w:t>
      </w:r>
      <w:r w:rsidRPr="002106AD">
        <w:rPr>
          <w:rFonts w:ascii="Times New Roman" w:hAnsi="Times New Roman" w:cs="Times New Roman"/>
          <w:i/>
          <w:sz w:val="24"/>
          <w:szCs w:val="24"/>
          <w:lang w:val="en-US"/>
        </w:rPr>
        <w:t>Handbook of Measurement in Science and Engineering, Volume 1</w:t>
      </w:r>
      <w:r w:rsidRPr="002106AD">
        <w:rPr>
          <w:rFonts w:ascii="Times New Roman" w:hAnsi="Times New Roman" w:cs="Times New Roman"/>
          <w:sz w:val="24"/>
          <w:szCs w:val="24"/>
          <w:lang w:val="en-US"/>
        </w:rPr>
        <w:t>. Wiley</w:t>
      </w:r>
    </w:p>
    <w:sectPr w:rsidR="00BF16D4" w:rsidRPr="002106AD" w:rsidSect="00DA48E6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EC" w:rsidRDefault="00012BEC" w:rsidP="00F66BE5">
      <w:pPr>
        <w:spacing w:after="0" w:line="240" w:lineRule="auto"/>
      </w:pPr>
      <w:r>
        <w:separator/>
      </w:r>
    </w:p>
  </w:endnote>
  <w:endnote w:type="continuationSeparator" w:id="0">
    <w:p w:rsidR="00012BEC" w:rsidRDefault="00012BEC" w:rsidP="00F6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n-US"/>
      </w:rPr>
      <w:id w:val="120674004"/>
      <w:docPartObj>
        <w:docPartGallery w:val="Page Numbers (Bottom of Page)"/>
        <w:docPartUnique/>
      </w:docPartObj>
    </w:sdtPr>
    <w:sdtEndPr/>
    <w:sdtContent>
      <w:sdt>
        <w:sdtPr>
          <w:rPr>
            <w:lang w:val="en-US"/>
          </w:rPr>
          <w:id w:val="861459857"/>
          <w:docPartObj>
            <w:docPartGallery w:val="Page Numbers (Top of Page)"/>
            <w:docPartUnique/>
          </w:docPartObj>
        </w:sdtPr>
        <w:sdtEndPr/>
        <w:sdtContent>
          <w:p w:rsidR="00F66BE5" w:rsidRPr="00F66BE5" w:rsidRDefault="00F66BE5" w:rsidP="00F66BE5">
            <w:pPr>
              <w:pStyle w:val="Footer"/>
              <w:jc w:val="center"/>
              <w:rPr>
                <w:lang w:val="en-US"/>
              </w:rPr>
            </w:pPr>
            <w:r w:rsidRPr="00F66BE5">
              <w:rPr>
                <w:lang w:val="en-US"/>
              </w:rPr>
              <w:t xml:space="preserve">Page </w:t>
            </w:r>
            <w:r w:rsidR="006F40BE" w:rsidRPr="00F66BE5">
              <w:rPr>
                <w:b/>
                <w:sz w:val="24"/>
                <w:szCs w:val="24"/>
                <w:lang w:val="en-US"/>
              </w:rPr>
              <w:fldChar w:fldCharType="begin"/>
            </w:r>
            <w:r w:rsidRPr="00F66BE5">
              <w:rPr>
                <w:b/>
                <w:lang w:val="en-US"/>
              </w:rPr>
              <w:instrText>PAGE</w:instrText>
            </w:r>
            <w:r w:rsidR="006F40BE" w:rsidRPr="00F66BE5">
              <w:rPr>
                <w:b/>
                <w:sz w:val="24"/>
                <w:szCs w:val="24"/>
                <w:lang w:val="en-US"/>
              </w:rPr>
              <w:fldChar w:fldCharType="separate"/>
            </w:r>
            <w:r w:rsidR="00C81664">
              <w:rPr>
                <w:b/>
                <w:noProof/>
                <w:lang w:val="en-US"/>
              </w:rPr>
              <w:t>1</w:t>
            </w:r>
            <w:r w:rsidR="006F40BE" w:rsidRPr="00F66BE5">
              <w:rPr>
                <w:b/>
                <w:sz w:val="24"/>
                <w:szCs w:val="24"/>
                <w:lang w:val="en-US"/>
              </w:rPr>
              <w:fldChar w:fldCharType="end"/>
            </w:r>
            <w:r w:rsidRPr="00F66BE5">
              <w:rPr>
                <w:lang w:val="en-US"/>
              </w:rPr>
              <w:t xml:space="preserve"> of </w:t>
            </w:r>
            <w:r w:rsidR="006F40BE" w:rsidRPr="00F66BE5">
              <w:rPr>
                <w:b/>
                <w:sz w:val="24"/>
                <w:szCs w:val="24"/>
                <w:lang w:val="en-US"/>
              </w:rPr>
              <w:fldChar w:fldCharType="begin"/>
            </w:r>
            <w:r w:rsidRPr="00F66BE5">
              <w:rPr>
                <w:b/>
                <w:lang w:val="en-US"/>
              </w:rPr>
              <w:instrText>NUMPAGES</w:instrText>
            </w:r>
            <w:r w:rsidR="006F40BE" w:rsidRPr="00F66BE5">
              <w:rPr>
                <w:b/>
                <w:sz w:val="24"/>
                <w:szCs w:val="24"/>
                <w:lang w:val="en-US"/>
              </w:rPr>
              <w:fldChar w:fldCharType="separate"/>
            </w:r>
            <w:r w:rsidR="00C81664">
              <w:rPr>
                <w:b/>
                <w:noProof/>
                <w:lang w:val="en-US"/>
              </w:rPr>
              <w:t>3</w:t>
            </w:r>
            <w:r w:rsidR="006F40BE" w:rsidRPr="00F66BE5">
              <w:rPr>
                <w:b/>
                <w:sz w:val="24"/>
                <w:szCs w:val="24"/>
                <w:lang w:val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EC" w:rsidRDefault="00012BEC" w:rsidP="00F66BE5">
      <w:pPr>
        <w:spacing w:after="0" w:line="240" w:lineRule="auto"/>
      </w:pPr>
      <w:r>
        <w:separator/>
      </w:r>
    </w:p>
  </w:footnote>
  <w:footnote w:type="continuationSeparator" w:id="0">
    <w:p w:rsidR="00012BEC" w:rsidRDefault="00012BEC" w:rsidP="00F6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089"/>
    <w:multiLevelType w:val="hybridMultilevel"/>
    <w:tmpl w:val="344245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457AF"/>
    <w:multiLevelType w:val="hybridMultilevel"/>
    <w:tmpl w:val="4F8C02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223C8"/>
    <w:multiLevelType w:val="hybridMultilevel"/>
    <w:tmpl w:val="DFD48B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F32D8"/>
    <w:multiLevelType w:val="hybridMultilevel"/>
    <w:tmpl w:val="781E90EE"/>
    <w:lvl w:ilvl="0" w:tplc="92DCAAE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C4FF1"/>
    <w:multiLevelType w:val="hybridMultilevel"/>
    <w:tmpl w:val="30962FE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A1C"/>
    <w:rsid w:val="000019D6"/>
    <w:rsid w:val="00012BEC"/>
    <w:rsid w:val="000275AE"/>
    <w:rsid w:val="000320C0"/>
    <w:rsid w:val="000457DA"/>
    <w:rsid w:val="00057B3C"/>
    <w:rsid w:val="00070933"/>
    <w:rsid w:val="00074A31"/>
    <w:rsid w:val="00077B2A"/>
    <w:rsid w:val="000969D4"/>
    <w:rsid w:val="000A1443"/>
    <w:rsid w:val="000A1DF3"/>
    <w:rsid w:val="000B0592"/>
    <w:rsid w:val="000C0B38"/>
    <w:rsid w:val="000C66D8"/>
    <w:rsid w:val="000D2121"/>
    <w:rsid w:val="000F3786"/>
    <w:rsid w:val="00124204"/>
    <w:rsid w:val="00126AE3"/>
    <w:rsid w:val="0014095C"/>
    <w:rsid w:val="00151E2B"/>
    <w:rsid w:val="001674C0"/>
    <w:rsid w:val="001C6181"/>
    <w:rsid w:val="001F358D"/>
    <w:rsid w:val="001F4E12"/>
    <w:rsid w:val="0020174A"/>
    <w:rsid w:val="002106AD"/>
    <w:rsid w:val="002120CD"/>
    <w:rsid w:val="0022089C"/>
    <w:rsid w:val="0023297C"/>
    <w:rsid w:val="00235FD6"/>
    <w:rsid w:val="0024550F"/>
    <w:rsid w:val="002719A1"/>
    <w:rsid w:val="00272305"/>
    <w:rsid w:val="002942D8"/>
    <w:rsid w:val="002B232F"/>
    <w:rsid w:val="002C6130"/>
    <w:rsid w:val="002C6ED6"/>
    <w:rsid w:val="002D7733"/>
    <w:rsid w:val="00302A1C"/>
    <w:rsid w:val="00312801"/>
    <w:rsid w:val="00314370"/>
    <w:rsid w:val="00327AF6"/>
    <w:rsid w:val="0034745B"/>
    <w:rsid w:val="00376397"/>
    <w:rsid w:val="00383788"/>
    <w:rsid w:val="00396317"/>
    <w:rsid w:val="003B18C1"/>
    <w:rsid w:val="003C0335"/>
    <w:rsid w:val="003E1EA3"/>
    <w:rsid w:val="003E382B"/>
    <w:rsid w:val="003E4780"/>
    <w:rsid w:val="003F303B"/>
    <w:rsid w:val="00404E5E"/>
    <w:rsid w:val="004107AA"/>
    <w:rsid w:val="00422B23"/>
    <w:rsid w:val="00435714"/>
    <w:rsid w:val="00445146"/>
    <w:rsid w:val="00472B2E"/>
    <w:rsid w:val="004B1AEC"/>
    <w:rsid w:val="00503EBA"/>
    <w:rsid w:val="005132E5"/>
    <w:rsid w:val="0052157B"/>
    <w:rsid w:val="00546375"/>
    <w:rsid w:val="0056688F"/>
    <w:rsid w:val="005914C0"/>
    <w:rsid w:val="005A54C5"/>
    <w:rsid w:val="005A6CE9"/>
    <w:rsid w:val="005A73A1"/>
    <w:rsid w:val="005B432A"/>
    <w:rsid w:val="005B5383"/>
    <w:rsid w:val="005B7802"/>
    <w:rsid w:val="005C1FB4"/>
    <w:rsid w:val="005C4B6C"/>
    <w:rsid w:val="005C68DE"/>
    <w:rsid w:val="005F1DFB"/>
    <w:rsid w:val="005F2887"/>
    <w:rsid w:val="00620148"/>
    <w:rsid w:val="00620734"/>
    <w:rsid w:val="00627455"/>
    <w:rsid w:val="006315F3"/>
    <w:rsid w:val="006338F1"/>
    <w:rsid w:val="006D2BA5"/>
    <w:rsid w:val="006F40BE"/>
    <w:rsid w:val="007133C3"/>
    <w:rsid w:val="00714B38"/>
    <w:rsid w:val="007214D3"/>
    <w:rsid w:val="007266B1"/>
    <w:rsid w:val="0074113F"/>
    <w:rsid w:val="007449A6"/>
    <w:rsid w:val="0075477D"/>
    <w:rsid w:val="00755C04"/>
    <w:rsid w:val="007650F2"/>
    <w:rsid w:val="007820C7"/>
    <w:rsid w:val="007837C0"/>
    <w:rsid w:val="0078775E"/>
    <w:rsid w:val="0079069C"/>
    <w:rsid w:val="007D255E"/>
    <w:rsid w:val="007D264D"/>
    <w:rsid w:val="007D4ACA"/>
    <w:rsid w:val="007F0DC2"/>
    <w:rsid w:val="007F578A"/>
    <w:rsid w:val="00813161"/>
    <w:rsid w:val="00842B13"/>
    <w:rsid w:val="00846B48"/>
    <w:rsid w:val="0084776D"/>
    <w:rsid w:val="008527CC"/>
    <w:rsid w:val="00856D0D"/>
    <w:rsid w:val="00865BFB"/>
    <w:rsid w:val="008735BC"/>
    <w:rsid w:val="00880D1B"/>
    <w:rsid w:val="008A0D12"/>
    <w:rsid w:val="008B48AB"/>
    <w:rsid w:val="008F009C"/>
    <w:rsid w:val="008F0C9E"/>
    <w:rsid w:val="008F335D"/>
    <w:rsid w:val="008F38B9"/>
    <w:rsid w:val="008F6844"/>
    <w:rsid w:val="00903BA2"/>
    <w:rsid w:val="00913BC4"/>
    <w:rsid w:val="0091529C"/>
    <w:rsid w:val="00915767"/>
    <w:rsid w:val="00930CC3"/>
    <w:rsid w:val="00931D01"/>
    <w:rsid w:val="00937B39"/>
    <w:rsid w:val="00947D20"/>
    <w:rsid w:val="00951499"/>
    <w:rsid w:val="00977F39"/>
    <w:rsid w:val="00992A88"/>
    <w:rsid w:val="009A367B"/>
    <w:rsid w:val="009B2F37"/>
    <w:rsid w:val="009E1FA7"/>
    <w:rsid w:val="009F2C05"/>
    <w:rsid w:val="00A05DB6"/>
    <w:rsid w:val="00A16A94"/>
    <w:rsid w:val="00A50DDD"/>
    <w:rsid w:val="00A6201A"/>
    <w:rsid w:val="00A82E69"/>
    <w:rsid w:val="00A900AF"/>
    <w:rsid w:val="00AC03C3"/>
    <w:rsid w:val="00AD11B5"/>
    <w:rsid w:val="00AD6E59"/>
    <w:rsid w:val="00B13C80"/>
    <w:rsid w:val="00B26DBD"/>
    <w:rsid w:val="00B64A20"/>
    <w:rsid w:val="00BA6F47"/>
    <w:rsid w:val="00BB57CC"/>
    <w:rsid w:val="00BC6F77"/>
    <w:rsid w:val="00BD0CDC"/>
    <w:rsid w:val="00BD2B81"/>
    <w:rsid w:val="00BE7CF0"/>
    <w:rsid w:val="00BF16D4"/>
    <w:rsid w:val="00BF5695"/>
    <w:rsid w:val="00BF681F"/>
    <w:rsid w:val="00C20AFF"/>
    <w:rsid w:val="00C22D46"/>
    <w:rsid w:val="00C427FB"/>
    <w:rsid w:val="00C758CD"/>
    <w:rsid w:val="00C81664"/>
    <w:rsid w:val="00C8382D"/>
    <w:rsid w:val="00CA4F16"/>
    <w:rsid w:val="00CD6B43"/>
    <w:rsid w:val="00CE1513"/>
    <w:rsid w:val="00D35F2A"/>
    <w:rsid w:val="00D67F99"/>
    <w:rsid w:val="00DA48E6"/>
    <w:rsid w:val="00DA7D04"/>
    <w:rsid w:val="00DE2D53"/>
    <w:rsid w:val="00DE459F"/>
    <w:rsid w:val="00DE7970"/>
    <w:rsid w:val="00DF1961"/>
    <w:rsid w:val="00DF66EA"/>
    <w:rsid w:val="00E035F5"/>
    <w:rsid w:val="00E07A67"/>
    <w:rsid w:val="00E3314E"/>
    <w:rsid w:val="00E352EE"/>
    <w:rsid w:val="00E5385C"/>
    <w:rsid w:val="00E56AA8"/>
    <w:rsid w:val="00F11A5C"/>
    <w:rsid w:val="00F40FB0"/>
    <w:rsid w:val="00F4573A"/>
    <w:rsid w:val="00F548FF"/>
    <w:rsid w:val="00F66BE5"/>
    <w:rsid w:val="00F96BFB"/>
    <w:rsid w:val="00FB6E8C"/>
    <w:rsid w:val="00FC26DB"/>
    <w:rsid w:val="00FD1BDB"/>
    <w:rsid w:val="00FE309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arc" idref="#_x0000_s1088"/>
        <o:r id="V:Rule2" type="connector" idref="#_x0000_s1079"/>
        <o:r id="V:Rule3" type="connector" idref="#_x0000_s1092"/>
        <o:r id="V:Rule4" type="connector" idref="#_x0000_s1050"/>
        <o:r id="V:Rule5" type="connector" idref="#_x0000_s1053"/>
        <o:r id="V:Rule6" type="connector" idref="#_x0000_s1093"/>
        <o:r id="V:Rule7" type="connector" idref="#_x0000_s1051"/>
        <o:r id="V:Rule8" type="connector" idref="#_x0000_s1055"/>
        <o:r id="V:Rule9" type="connector" idref="#_x0000_s1090"/>
        <o:r id="V:Rule10" type="connector" idref="#_x0000_s1057"/>
        <o:r id="V:Rule11" type="connector" idref="#_x0000_s1081"/>
        <o:r id="V:Rule12" type="connector" idref="#_x0000_s1046"/>
        <o:r id="V:Rule13" type="connector" idref="#_x0000_s1056"/>
        <o:r id="V:Rule14" type="connector" idref="#_x0000_s1080"/>
        <o:r id="V:Rule15" type="connector" idref="#_x0000_s1082"/>
        <o:r id="V:Rule16" type="connector" idref="#_x0000_s1047"/>
        <o:r id="V:Rule17" type="connector" idref="#_x0000_s1049"/>
        <o:r id="V:Rule18" type="connector" idref="#_x0000_s1054"/>
        <o:r id="V:Rule19" type="connector" idref="#_x0000_s1087"/>
        <o:r id="V:Rule20" type="connector" idref="#_x0000_s1044"/>
        <o:r id="V:Rule21" type="connector" idref="#_x0000_s1089"/>
      </o:rules>
    </o:shapelayout>
  </w:shapeDefaults>
  <w:decimalSymbol w:val="."/>
  <w:listSeparator w:val=","/>
  <w14:docId w14:val="371F68BE"/>
  <w15:docId w15:val="{7619990D-CC86-4212-839B-B26D1C2D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0B38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BE5"/>
  </w:style>
  <w:style w:type="paragraph" w:styleId="Footer">
    <w:name w:val="footer"/>
    <w:basedOn w:val="Normal"/>
    <w:link w:val="FooterChar"/>
    <w:uiPriority w:val="99"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D4238E7-8362-4779-9506-C11A0BB9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hpelite</dc:creator>
  <cp:keywords/>
  <dc:description/>
  <cp:lastModifiedBy>Foamer-2</cp:lastModifiedBy>
  <cp:revision>97</cp:revision>
  <dcterms:created xsi:type="dcterms:W3CDTF">2016-10-04T07:15:00Z</dcterms:created>
  <dcterms:modified xsi:type="dcterms:W3CDTF">2021-10-09T16:26:00Z</dcterms:modified>
</cp:coreProperties>
</file>